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2" w:right="0" w:hanging="720"/>
        <w:jc w:val="left"/>
        <w:rPr>
          <w:rFonts w:ascii="Arial" w:cs="Arial" w:eastAsia="Arial" w:hAnsi="Arial"/>
          <w:b w:val="0"/>
          <w:i w:val="0"/>
          <w:smallCaps w:val="0"/>
          <w:strike w:val="0"/>
          <w:color w:val="000000"/>
          <w:sz w:val="36"/>
          <w:szCs w:val="36"/>
          <w:u w:val="none"/>
          <w:shd w:fill="auto" w:val="clear"/>
          <w:vertAlign w:val="baseline"/>
        </w:rPr>
      </w:pPr>
      <w:bookmarkStart w:colFirst="0" w:colLast="0" w:name="_heading=h.3dy6vkm"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and may delete or amend as required. Buyers should ensure that the drafting of any Financial Indicators aligns with the financial standing criteria used during the selection stage of the procurement]</w:t>
      </w: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definitions shall apply:</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financial indicators from Paragraph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“Bronze Contract”</w:t>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Call-Off Contract categorised as a Bronze contract using the Cabinet Office Contract Tiering Tool;</w:t>
            </w:r>
          </w:p>
        </w:tc>
      </w:tr>
      <w:tr>
        <w:trPr>
          <w:cantSplit w:val="0"/>
          <w:tblHeader w:val="0"/>
        </w:trPr>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Suppliers”</w:t>
            </w:r>
          </w:p>
        </w:tc>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suppliers to government listed at </w:t>
            </w:r>
            <w:hyperlink r:id="r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2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2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2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2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3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3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3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3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3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3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3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3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4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46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Consequences</w:t>
      </w: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 of Financial Distress Events</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4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4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B">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4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4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4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5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5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B">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Indicators</w:t>
      </w:r>
    </w:p>
    <w:p w:rsidR="00000000" w:rsidDel="00000000" w:rsidP="00000000" w:rsidRDefault="00000000" w:rsidRPr="00000000" w14:paraId="0000005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bookmarkStart w:colFirst="0" w:colLast="0" w:name="_heading=h.1ci93xb"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and Reporting Frequency [if different from the default position set out in Paragraph 2.3(b)]</w:t>
            </w:r>
          </w:p>
        </w:tc>
      </w:tr>
      <w:tr>
        <w:trPr>
          <w:cantSplit w:val="0"/>
          <w:tblHeader w:val="0"/>
        </w:trPr>
        <w:tc>
          <w:tcPr>
            <w:shd w:fill="auto" w:val="cle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Margin]</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higher of (a) the Operating Margin for the most recent 12 month period and (b) the average Operating Margin for the last two 12 month periods]</w:t>
            </w:r>
          </w:p>
        </w:tc>
        <w:tc>
          <w:tcPr>
            <w:shd w:fill="auto" w:val="clea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[Operating Margin = Operating Profit / Revenue]</w:t>
            </w:r>
          </w:p>
        </w:tc>
        <w:tc>
          <w:tcPr>
            <w:shd w:fill="auto" w:val="clea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&gt; 2.5%</w:t>
            </w:r>
          </w:p>
        </w:tc>
        <w:tc>
          <w:tcPr>
            <w:shd w:fill="auto" w:val="clea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120 days of each accounting reference based upon figures for the 12 months ending on the relevant accounting reference date</w:t>
            </w:r>
          </w:p>
        </w:tc>
      </w:tr>
      <w:tr>
        <w:trPr>
          <w:cantSplit w:val="0"/>
          <w:tblHeader w:val="0"/>
        </w:trPr>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[Free Cash Flow to Net Debt Ratio]</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[Free Cash Flow to Net Debt Ratio = Free Cash Flow / Net Debt]</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&gt; 15%</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120 days of each accounting reference date based upon Free Cash Flow for the 12 months ending on, and Net Debt at, the relevant accounting reference date </w:t>
            </w:r>
          </w:p>
        </w:tc>
      </w:tr>
      <w:tr>
        <w:trPr>
          <w:cantSplit w:val="0"/>
          <w:tblHeader w:val="0"/>
        </w:trPr>
        <w:tc>
          <w:tcP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 Net Pension Deficit to EBITDA ratio</w:t>
            </w:r>
          </w:p>
        </w:tc>
        <w:tc>
          <w:tcP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[Net Debt + Net Pension Deficit to EBITDA Ratio = (Net Debt + Net Pension Deficit) / EBITDA]</w:t>
            </w:r>
          </w:p>
        </w:tc>
        <w:tc>
          <w:tcP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2.5 times</w:t>
            </w:r>
          </w:p>
        </w:tc>
        <w:tc>
          <w:tcP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w:t>
            </w:r>
            <w:r w:rsidDel="00000000" w:rsidR="00000000" w:rsidRPr="00000000">
              <w:rPr>
                <w:rFonts w:ascii="Arial" w:cs="Arial" w:eastAsia="Arial" w:hAnsi="Arial"/>
                <w:b w:val="0"/>
                <w:i w:val="1"/>
                <w:smallCaps w:val="0"/>
                <w:strike w:val="0"/>
                <w:color w:val="f79646"/>
                <w:sz w:val="24"/>
                <w:szCs w:val="24"/>
                <w:u w:val="none"/>
                <w:shd w:fill="auto" w:val="clear"/>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Interest Paid Cover</w:t>
            </w:r>
          </w:p>
        </w:tc>
        <w:tc>
          <w:tcP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&gt;4.5 times</w:t>
            </w:r>
          </w:p>
        </w:tc>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120 days of each accounting reference date based upon figures for the 12 months ending on the relevant accounting reference date</w:t>
            </w:r>
          </w:p>
        </w:tc>
      </w:tr>
      <w:tr>
        <w:trPr>
          <w:cantSplit w:val="0"/>
          <w:tblHeader w:val="0"/>
        </w:trPr>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Acid Ratio</w:t>
            </w:r>
          </w:p>
        </w:tc>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[Acid Ratio = (Current Assets – Inventories) / Current Liabilities]</w:t>
            </w:r>
          </w:p>
        </w:tc>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&gt; 1times</w:t>
            </w:r>
          </w:p>
        </w:tc>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120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counting reference date based upon figures at the relevant accounting reference date</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Asset value</w:t>
            </w:r>
          </w:p>
        </w:tc>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[Net Asset Value = Net Assets]</w:t>
            </w:r>
          </w:p>
        </w:tc>
        <w:tc>
          <w:tcP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&gt; £0</w:t>
            </w:r>
          </w:p>
        </w:tc>
        <w:tc>
          <w:tcP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120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Group Exposure Ratio</w:t>
            </w:r>
          </w:p>
        </w:tc>
        <w:tc>
          <w:tcP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[Group Exposure / Gross Assets]</w:t>
            </w:r>
          </w:p>
        </w:tc>
        <w:tc>
          <w:tcP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&lt;25%</w:t>
            </w:r>
          </w:p>
        </w:tc>
        <w:tc>
          <w:tcP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c>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r>
    </w:tbl>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9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9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9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9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0">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A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A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A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A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A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A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A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AB">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Optional Clauses</w:t>
      </w:r>
    </w:p>
    <w:p w:rsidR="00000000" w:rsidDel="00000000" w:rsidP="00000000" w:rsidRDefault="00000000" w:rsidRPr="00000000" w14:paraId="000000A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Buyer’s Call-Off Contract is a Bronze Contract, if specified in the Order Form, the terms at Annex 5 shall apply to the Call-Off Contract in place of the foregoing terms of this Joint Schedule 7.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AF">
      <w:pPr>
        <w:keepNext w:val="1"/>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Rating Agency 1 – Dun and Bradstreet</w:t>
      </w:r>
    </w:p>
    <w:p w:rsidR="00000000" w:rsidDel="00000000" w:rsidP="00000000" w:rsidRDefault="00000000" w:rsidRPr="00000000" w14:paraId="000000B0">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2bn6wsx"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Annex 2</w:t>
      </w: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 </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B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B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B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Threshold - 50]</w:t>
            </w:r>
          </w:p>
        </w:tc>
      </w:tr>
      <w:tr>
        <w:trPr>
          <w:cantSplit w:val="0"/>
          <w:tblHeader w:val="0"/>
        </w:trPr>
        <w:tc>
          <w:tcPr>
            <w:shd w:fill="ffffff" w:val="clear"/>
          </w:tcPr>
          <w:p w:rsidR="00000000" w:rsidDel="00000000" w:rsidP="00000000" w:rsidRDefault="00000000" w:rsidRPr="00000000" w14:paraId="000000B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B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B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B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bookmarkStart w:colFirst="0" w:colLast="0" w:name="_heading=h.qsh70q" w:id="4"/>
      <w:bookmarkEnd w:id="4"/>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C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5"/>
      <w:bookmarkEnd w:id="5"/>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5"/>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Margin</w:t>
            </w:r>
          </w:p>
        </w:tc>
        <w:tc>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Free Cash Flow to Net Debt Ratio</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to EBITDA Ratio]</w:t>
            </w:r>
          </w:p>
        </w:tc>
        <w:tc>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Free Cash Flow</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Net Cash Flow from Operating Activities – Capital Expenditure</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Capital Expenditure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Purchase of property, plant &amp; equipment + purchase of intangible assets</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Cash Flow from Operating Activities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should be stated after deduction of interest and tax paid.</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Capital expenditure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is negative (i.e. an entity has net cash), the relevant Financial Target Threshold should be treated as having been met.]</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bookmarkStart w:colFirst="0" w:colLast="0" w:name="_heading=h.1pxezwc" w:id="6"/>
            <w:bookmarkEnd w:id="6"/>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 Net  Pension Deficit to EBITDA ratio]</w:t>
            </w:r>
          </w:p>
        </w:tc>
        <w:tc>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Pension Deficit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Retirement Benefit Obligations – Retirement Benefit Assets</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not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non-designated hedges). Borrowings should also include balances owed to other group members.</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Pension Deficit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Interest Paid Cover</w:t>
            </w:r>
          </w:p>
        </w:tc>
        <w:tc>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Interest paid – Interest received</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Interest received and interest paid should be shown on the face of the Cash Flow statement.</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Acid Ratio</w:t>
            </w:r>
          </w:p>
        </w:tc>
        <w:tc>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Asset value</w:t>
            </w:r>
          </w:p>
        </w:tc>
        <w:tc>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Group Exposure Ratio</w:t>
            </w:r>
          </w:p>
        </w:tc>
        <w:tc>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Balances owed by Group Undertakings + Contingent liabilities assumed in support of Group Undertakings</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Fixed Assets + Current Assets</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Both Fixed assets and Current assets are shown on the face of the Balance Sheet]</w:t>
            </w:r>
          </w:p>
        </w:tc>
      </w:tr>
      <w:tr>
        <w:trPr>
          <w:cantSplit w:val="0"/>
          <w:tblHeader w:val="0"/>
        </w:trPr>
        <w:tc>
          <w:tcPr>
            <w:vAlign w:val="cente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 additional Financial Indicators as necessary</w:t>
            </w:r>
          </w:p>
        </w:tc>
        <w:tc>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singl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[Etc..]</w:t>
            </w:r>
          </w:p>
        </w:tc>
      </w:tr>
    </w:tbl>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2p2csry" w:id="8"/>
      <w:bookmarkEnd w:id="8"/>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Distress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2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p>
    <w:p w:rsidR="00000000" w:rsidDel="00000000" w:rsidP="00000000" w:rsidRDefault="00000000" w:rsidRPr="00000000" w14:paraId="000001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A">
      <w:pPr>
        <w:spacing w:after="200" w:line="276" w:lineRule="auto"/>
        <w:jc w:val="left"/>
        <w:rPr>
          <w:rFonts w:ascii="Arial" w:cs="Arial" w:eastAsia="Arial" w:hAnsi="Arial"/>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13B">
      <w:pPr>
        <w:spacing w:after="200" w:line="276" w:lineRule="auto"/>
        <w:jc w:val="left"/>
        <w:rPr>
          <w:rFonts w:ascii="Arial" w:cs="Arial" w:eastAsia="Arial" w:hAnsi="Arial"/>
          <w:sz w:val="36"/>
          <w:szCs w:val="36"/>
        </w:rPr>
      </w:pPr>
      <w:r w:rsidDel="00000000" w:rsidR="00000000" w:rsidRPr="00000000">
        <w:rPr>
          <w:rtl w:val="0"/>
        </w:rPr>
      </w:r>
    </w:p>
    <w:p w:rsidR="00000000" w:rsidDel="00000000" w:rsidP="00000000" w:rsidRDefault="00000000" w:rsidRPr="00000000" w14:paraId="0000013C">
      <w:pPr>
        <w:spacing w:after="200" w:line="276" w:lineRule="auto"/>
        <w:jc w:val="left"/>
        <w:rPr>
          <w:rFonts w:ascii="Arial" w:cs="Arial" w:eastAsia="Arial" w:hAnsi="Arial"/>
          <w:b w:val="1"/>
          <w:smallCaps w:val="1"/>
          <w:sz w:val="36"/>
          <w:szCs w:val="36"/>
        </w:rPr>
      </w:pPr>
      <w:r w:rsidDel="00000000" w:rsidR="00000000" w:rsidRPr="00000000">
        <w:rPr>
          <w:rFonts w:ascii="Arial" w:cs="Arial" w:eastAsia="Arial" w:hAnsi="Arial"/>
          <w:b w:val="1"/>
          <w:smallCaps w:val="1"/>
          <w:sz w:val="36"/>
          <w:szCs w:val="36"/>
          <w:rtl w:val="0"/>
        </w:rPr>
        <w:t xml:space="preserve">ANNEX 5: OPTIONAL CLAUSES FOR BRONZE CONTRACTS</w:t>
      </w:r>
    </w:p>
    <w:p w:rsidR="00000000" w:rsidDel="00000000" w:rsidP="00000000" w:rsidRDefault="00000000" w:rsidRPr="00000000" w14:paraId="0000013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3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5, the following words shall have the following meanings and they shall supplement Joint Schedule 1 (Definitions):</w:t>
      </w:r>
    </w:p>
    <w:tbl>
      <w:tblPr>
        <w:tblStyle w:val="Table6"/>
        <w:tblW w:w="7560.0" w:type="dxa"/>
        <w:jc w:val="left"/>
        <w:tblInd w:w="1008.0" w:type="dxa"/>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r w:rsidDel="00000000" w:rsidR="00000000" w:rsidRPr="00000000">
              <w:rPr>
                <w:rtl w:val="0"/>
              </w:rPr>
            </w:r>
          </w:p>
        </w:tc>
        <w:tc>
          <w:tcPr/>
          <w:p w:rsidR="00000000" w:rsidDel="00000000" w:rsidP="00000000" w:rsidRDefault="00000000" w:rsidRPr="00000000" w14:paraId="0000014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r w:rsidDel="00000000" w:rsidR="00000000" w:rsidRPr="00000000">
              <w:rPr>
                <w:rtl w:val="0"/>
              </w:rPr>
            </w:r>
          </w:p>
        </w:tc>
        <w:tc>
          <w:tcPr/>
          <w:p w:rsidR="00000000" w:rsidDel="00000000" w:rsidP="00000000" w:rsidRDefault="00000000" w:rsidRPr="00000000" w14:paraId="0000014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14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14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4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14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14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14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14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14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14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14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14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r w:rsidDel="00000000" w:rsidR="00000000" w:rsidRPr="00000000">
              <w:rPr>
                <w:rtl w:val="0"/>
              </w:rPr>
            </w:r>
          </w:p>
        </w:tc>
        <w:tc>
          <w:tcPr/>
          <w:p w:rsidR="00000000" w:rsidDel="00000000" w:rsidP="00000000" w:rsidRDefault="00000000" w:rsidRPr="00000000" w14:paraId="0000014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r w:rsidDel="00000000" w:rsidR="00000000" w:rsidRPr="00000000">
              <w:rPr>
                <w:rtl w:val="0"/>
              </w:rPr>
            </w:r>
          </w:p>
        </w:tc>
        <w:tc>
          <w:tcPr/>
          <w:p w:rsidR="00000000" w:rsidDel="00000000" w:rsidP="00000000" w:rsidRDefault="00000000" w:rsidRPr="00000000" w14:paraId="0000015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r w:rsidDel="00000000" w:rsidR="00000000" w:rsidRPr="00000000">
              <w:rPr>
                <w:rtl w:val="0"/>
              </w:rPr>
            </w:r>
          </w:p>
        </w:tc>
        <w:tc>
          <w:tcPr/>
          <w:p w:rsidR="00000000" w:rsidDel="00000000" w:rsidP="00000000" w:rsidRDefault="00000000" w:rsidRPr="00000000" w14:paraId="0000015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Appendix 1.</w:t>
            </w:r>
          </w:p>
        </w:tc>
      </w:tr>
    </w:tbl>
    <w:p w:rsidR="00000000" w:rsidDel="00000000" w:rsidP="00000000" w:rsidRDefault="00000000" w:rsidRPr="00000000" w14:paraId="0000015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o7alnk" w:id="10"/>
      <w:bookmarkEnd w:id="1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1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of this Annex 5 shall survive: </w:t>
      </w:r>
    </w:p>
    <w:p w:rsidR="00000000" w:rsidDel="00000000" w:rsidP="00000000" w:rsidRDefault="00000000" w:rsidRPr="00000000" w14:paraId="000001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1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15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15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that as at the Start Date the long term credit ratings issued for the Monitored Companies by each of the Rating Agencies are as set out in Appendix 2. </w:t>
      </w:r>
    </w:p>
    <w:p w:rsidR="00000000" w:rsidDel="00000000" w:rsidP="00000000" w:rsidRDefault="00000000" w:rsidRPr="00000000" w14:paraId="0000015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15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w:t>
      </w:r>
    </w:p>
    <w:p w:rsidR="00000000" w:rsidDel="00000000" w:rsidP="00000000" w:rsidRDefault="00000000" w:rsidRPr="00000000" w14:paraId="0000015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15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1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6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6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16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00000" w:rsidDel="00000000" w:rsidP="00000000" w:rsidRDefault="00000000" w:rsidRPr="00000000" w14:paraId="0000016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000000" w:rsidDel="00000000" w:rsidP="00000000" w:rsidRDefault="00000000" w:rsidRPr="00000000" w14:paraId="000001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1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16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16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16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16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6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the Relevant Authority may reasonably require.</w:t>
      </w:r>
    </w:p>
    <w:p w:rsidR="00000000" w:rsidDel="00000000" w:rsidP="00000000" w:rsidRDefault="00000000" w:rsidRPr="00000000" w14:paraId="0000016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000000" w:rsidDel="00000000" w:rsidP="00000000" w:rsidRDefault="00000000" w:rsidRPr="00000000" w14:paraId="0000016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16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the Relevant Authority, the Supplier shall:</w:t>
      </w:r>
    </w:p>
    <w:p w:rsidR="00000000" w:rsidDel="00000000" w:rsidP="00000000" w:rsidRDefault="00000000" w:rsidRPr="00000000" w14:paraId="0000016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9c6y18"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16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1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17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rsidR="00000000" w:rsidDel="00000000" w:rsidP="00000000" w:rsidRDefault="00000000" w:rsidRPr="00000000" w14:paraId="0000017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17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7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17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3.4; </w:t>
      </w:r>
    </w:p>
    <w:p w:rsidR="00000000" w:rsidDel="00000000" w:rsidP="00000000" w:rsidRDefault="00000000" w:rsidRPr="00000000" w14:paraId="0000017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7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7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17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1mrcu09"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17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1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 </w:t>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bookmarkStart w:colFirst="0" w:colLast="0" w:name="_heading=h.4i7ojhp" w:id="28"/>
      <w:bookmarkEnd w:id="28"/>
      <w:r w:rsidDel="00000000" w:rsidR="00000000" w:rsidRPr="00000000">
        <w:rPr>
          <w:rtl w:val="0"/>
        </w:rPr>
      </w:r>
    </w:p>
    <w:p w:rsidR="00000000" w:rsidDel="00000000" w:rsidP="00000000" w:rsidRDefault="00000000" w:rsidRPr="00000000" w14:paraId="0000017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6r0co2" w:id="29"/>
      <w:bookmarkEnd w:id="29"/>
      <w:r w:rsidDel="00000000" w:rsidR="00000000" w:rsidRPr="00000000">
        <w:br w:type="page"/>
      </w:r>
      <w:r w:rsidDel="00000000" w:rsidR="00000000" w:rsidRPr="00000000">
        <w:rPr>
          <w:rtl w:val="0"/>
        </w:rPr>
      </w:r>
    </w:p>
    <w:p w:rsidR="00000000" w:rsidDel="00000000" w:rsidP="00000000" w:rsidRDefault="00000000" w:rsidRPr="00000000" w14:paraId="0000018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0"/>
          <w:i w:val="0"/>
          <w:smallCaps w:val="1"/>
          <w:strike w:val="0"/>
          <w:color w:val="000000"/>
          <w:sz w:val="36"/>
          <w:szCs w:val="36"/>
          <w:u w:val="none"/>
          <w:shd w:fill="auto" w:val="clear"/>
          <w:vertAlign w:val="baseline"/>
        </w:rPr>
      </w:pPr>
      <w:bookmarkStart w:colFirst="0" w:colLast="0" w:name="_heading=h.2lwamvv" w:id="30"/>
      <w:bookmarkEnd w:id="30"/>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Appendix 1: RATING AGENCIES</w:t>
      </w:r>
      <w:r w:rsidDel="00000000" w:rsidR="00000000" w:rsidRPr="00000000">
        <w:rPr>
          <w:rtl w:val="0"/>
        </w:rPr>
      </w:r>
    </w:p>
    <w:p w:rsidR="00000000" w:rsidDel="00000000" w:rsidP="00000000" w:rsidRDefault="00000000" w:rsidRPr="00000000" w14:paraId="00000181">
      <w:pPr>
        <w:keepNext w:val="1"/>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Rating Agency 1 – Dun and Bradstreet</w:t>
      </w:r>
    </w:p>
    <w:p w:rsidR="00000000" w:rsidDel="00000000" w:rsidP="00000000" w:rsidRDefault="00000000" w:rsidRPr="00000000" w14:paraId="0000018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111kx3o" w:id="31"/>
      <w:bookmarkEnd w:id="31"/>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Appendix 2: CREDIT RATINGS &amp; CREDIT RATING THRESHOLDS</w:t>
      </w:r>
      <w:r w:rsidDel="00000000" w:rsidR="00000000" w:rsidRPr="00000000">
        <w:rPr>
          <w:rtl w:val="0"/>
        </w:rPr>
      </w:r>
    </w:p>
    <w:p w:rsidR="00000000" w:rsidDel="00000000" w:rsidP="00000000" w:rsidRDefault="00000000" w:rsidRPr="00000000" w14:paraId="0000018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7"/>
        <w:tblW w:w="6168.000000000001"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gridCol w:w="7"/>
        <w:tblGridChange w:id="0">
          <w:tblGrid>
            <w:gridCol w:w="3080"/>
            <w:gridCol w:w="3081"/>
            <w:gridCol w:w="7"/>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8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18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18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gridSpan w:val="2"/>
            <w:shd w:fill="ffffff" w:val="clear"/>
          </w:tcPr>
          <w:p w:rsidR="00000000" w:rsidDel="00000000" w:rsidP="00000000" w:rsidRDefault="00000000" w:rsidRPr="00000000" w14:paraId="0000018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Threshold - 50]</w:t>
            </w:r>
          </w:p>
        </w:tc>
      </w:tr>
      <w:tr>
        <w:trPr>
          <w:cantSplit w:val="0"/>
          <w:tblHeader w:val="0"/>
        </w:trPr>
        <w:tc>
          <w:tcPr>
            <w:shd w:fill="ffffff" w:val="clear"/>
          </w:tcPr>
          <w:p w:rsidR="00000000" w:rsidDel="00000000" w:rsidP="00000000" w:rsidRDefault="00000000" w:rsidRPr="00000000" w14:paraId="0000018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gridSpan w:val="2"/>
            <w:shd w:fill="ffffff" w:val="clear"/>
          </w:tcPr>
          <w:p w:rsidR="00000000" w:rsidDel="00000000" w:rsidP="00000000" w:rsidRDefault="00000000" w:rsidRPr="00000000" w14:paraId="0000018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18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18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8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F">
      <w:pPr>
        <w:spacing w:after="200" w:line="276" w:lineRule="auto"/>
        <w:jc w:val="left"/>
        <w:rPr>
          <w:rFonts w:ascii="Arial" w:cs="Arial" w:eastAsia="Arial" w:hAnsi="Arial"/>
          <w:sz w:val="24"/>
          <w:szCs w:val="24"/>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5">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97">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RM6290</w:t>
      <w:tab/>
      <w:t xml:space="preserve">                                           </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9A">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2021</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rsid w:val="00E12774"/>
    <w:pPr>
      <w:keepNext w:val="1"/>
      <w:keepLines w:val="1"/>
      <w:spacing w:after="120" w:before="480"/>
      <w:outlineLvl w:val="0"/>
    </w:pPr>
    <w:rPr>
      <w:b w:val="1"/>
      <w:sz w:val="48"/>
      <w:szCs w:val="48"/>
      <w:lang w:eastAsia="en-GB"/>
    </w:rPr>
  </w:style>
  <w:style w:type="paragraph" w:styleId="Heading2">
    <w:name w:val="heading 2"/>
    <w:basedOn w:val="Normal"/>
    <w:next w:val="Normal"/>
    <w:link w:val="Heading2Char"/>
    <w:rsid w:val="00E12774"/>
    <w:pPr>
      <w:keepNext w:val="1"/>
      <w:keepLines w:val="1"/>
      <w:spacing w:after="80" w:before="360"/>
      <w:outlineLvl w:val="1"/>
    </w:pPr>
    <w:rPr>
      <w:b w:val="1"/>
      <w:sz w:val="36"/>
      <w:szCs w:val="36"/>
      <w:lang w:eastAsia="en-GB"/>
    </w:rPr>
  </w:style>
  <w:style w:type="paragraph" w:styleId="Heading3">
    <w:name w:val="heading 3"/>
    <w:basedOn w:val="Normal"/>
    <w:next w:val="Normal"/>
    <w:link w:val="Heading3Char"/>
    <w:rsid w:val="00E12774"/>
    <w:pPr>
      <w:keepNext w:val="1"/>
      <w:keepLines w:val="1"/>
      <w:spacing w:after="80" w:before="280"/>
      <w:outlineLvl w:val="2"/>
    </w:pPr>
    <w:rPr>
      <w:b w:val="1"/>
      <w:sz w:val="28"/>
      <w:szCs w:val="28"/>
      <w:lang w:eastAsia="en-GB"/>
    </w:rPr>
  </w:style>
  <w:style w:type="paragraph" w:styleId="Heading4">
    <w:name w:val="heading 4"/>
    <w:basedOn w:val="Normal"/>
    <w:next w:val="Normal"/>
    <w:link w:val="Heading4Char"/>
    <w:rsid w:val="00E12774"/>
    <w:pPr>
      <w:keepNext w:val="1"/>
      <w:keepLines w:val="1"/>
      <w:spacing w:after="40" w:before="240"/>
      <w:outlineLvl w:val="3"/>
    </w:pPr>
    <w:rPr>
      <w:b w:val="1"/>
      <w:sz w:val="24"/>
      <w:szCs w:val="24"/>
      <w:lang w:eastAsia="en-GB"/>
    </w:rPr>
  </w:style>
  <w:style w:type="paragraph" w:styleId="Heading5">
    <w:name w:val="heading 5"/>
    <w:basedOn w:val="Normal"/>
    <w:next w:val="Normal"/>
    <w:link w:val="Heading5Char"/>
    <w:rsid w:val="00E12774"/>
    <w:pPr>
      <w:keepNext w:val="1"/>
      <w:keepLines w:val="1"/>
      <w:spacing w:after="40" w:before="220"/>
      <w:outlineLvl w:val="4"/>
    </w:pPr>
    <w:rPr>
      <w:b w:val="1"/>
      <w:lang w:eastAsia="en-GB"/>
    </w:rPr>
  </w:style>
  <w:style w:type="paragraph" w:styleId="Heading6">
    <w:name w:val="heading 6"/>
    <w:basedOn w:val="Normal"/>
    <w:next w:val="Normal"/>
    <w:link w:val="Heading6Char"/>
    <w:rsid w:val="00E12774"/>
    <w:pPr>
      <w:keepNext w:val="1"/>
      <w:keepLines w:val="1"/>
      <w:spacing w:after="40" w:before="200"/>
      <w:outlineLvl w:val="5"/>
    </w:pPr>
    <w:rPr>
      <w:b w:val="1"/>
      <w:sz w:val="20"/>
      <w:szCs w:val="20"/>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E12774"/>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E12774"/>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E12774"/>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E12774"/>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E12774"/>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E12774"/>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lang w:eastAsia="en-GB"/>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pPr>
      <w:numPr>
        <w:numId w:val="7"/>
      </w:numPr>
    </w:pPr>
  </w:style>
  <w:style w:type="numbering" w:styleId="Scheduleheading" w:customStyle="1">
    <w:name w:val="Schedule heading"/>
    <w:uiPriority w:val="99"/>
    <w:rsid w:val="0034142A"/>
    <w:pPr>
      <w:numPr>
        <w:numId w:val="8"/>
      </w:numPr>
    </w:pPr>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lang w:eastAsia="en-GB"/>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paragraph" w:styleId="Title">
    <w:name w:val="Title"/>
    <w:basedOn w:val="Normal"/>
    <w:next w:val="Normal"/>
    <w:link w:val="TitleChar"/>
    <w:rsid w:val="00E12774"/>
    <w:pPr>
      <w:keepNext w:val="1"/>
      <w:keepLines w:val="1"/>
      <w:spacing w:after="120" w:before="480"/>
    </w:pPr>
    <w:rPr>
      <w:b w:val="1"/>
      <w:sz w:val="72"/>
      <w:szCs w:val="72"/>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rsid w:val="00E12774"/>
    <w:pPr>
      <w:keepNext w:val="1"/>
      <w:keepLines w:val="1"/>
      <w:spacing w:after="80" w:before="360"/>
    </w:pPr>
    <w:rPr>
      <w:rFonts w:ascii="Georgia" w:cs="Georgia" w:eastAsia="Georgia" w:hAnsi="Georgia"/>
      <w:i w:val="1"/>
      <w:color w:val="666666"/>
      <w:sz w:val="48"/>
      <w:szCs w:val="48"/>
      <w:lang w:eastAsia="en-GB"/>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EopnTAag+oIb9IcdhLLG8zfypA==">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2022-02-14T09:29:00Z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